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60F6FC60" w:rsidR="00411180" w:rsidRPr="00866AFF" w:rsidRDefault="00B4741E" w:rsidP="00103DA5">
      <w:pPr>
        <w:pStyle w:val="Style15"/>
        <w:tabs>
          <w:tab w:val="left" w:pos="180"/>
          <w:tab w:val="left" w:pos="9540"/>
        </w:tabs>
        <w:spacing w:before="240" w:line="276" w:lineRule="auto"/>
        <w:ind w:left="90" w:right="-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8E3F66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</w:t>
      </w:r>
      <w:r w:rsidR="000E3934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Մ</w:t>
      </w:r>
      <w:r w:rsidR="00C671BC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E3F66">
        <w:rPr>
          <w:rFonts w:ascii="GHEA Grapalat" w:hAnsi="GHEA Grapalat"/>
          <w:sz w:val="24"/>
          <w:szCs w:val="24"/>
          <w:lang w:val="hy-AM" w:eastAsia="hy-AM"/>
        </w:rPr>
        <w:t>5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, 4-րդ հարկ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5EC6BAF7" w:rsidR="00791874" w:rsidRPr="00470C54" w:rsidRDefault="00791874" w:rsidP="00103DA5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right="-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ավագ մասնագետի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71-28.2.ա-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Մ4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E3F66">
        <w:rPr>
          <w:rFonts w:ascii="GHEA Grapalat" w:hAnsi="GHEA Grapalat"/>
          <w:sz w:val="24"/>
          <w:szCs w:val="24"/>
          <w:lang w:val="hy-AM" w:eastAsia="hy-AM"/>
        </w:rPr>
        <w:t>5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A5586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3BAC6DE2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lang w:val="hy-AM" w:eastAsia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8E3F66">
        <w:rPr>
          <w:rFonts w:ascii="GHEA Grapalat" w:eastAsia="Sylfaen" w:hAnsi="GHEA Grapalat" w:cs="Sylfaen"/>
          <w:lang w:val="hy-AM"/>
        </w:rPr>
        <w:t>դեկտեմբերի 1</w:t>
      </w:r>
      <w:r w:rsidR="00FD1E79">
        <w:rPr>
          <w:rFonts w:ascii="GHEA Grapalat" w:eastAsia="Sylfaen" w:hAnsi="GHEA Grapalat" w:cs="Sylfaen"/>
          <w:lang w:val="hy-AM"/>
        </w:rPr>
        <w:t>6</w:t>
      </w:r>
      <w:r w:rsidR="008E3F66">
        <w:rPr>
          <w:rFonts w:ascii="GHEA Grapalat" w:eastAsia="Sylfaen" w:hAnsi="GHEA Grapalat" w:cs="Sylfaen"/>
          <w:lang w:val="hy-AM"/>
        </w:rPr>
        <w:t>-2</w:t>
      </w:r>
      <w:r w:rsidR="00FD1E79">
        <w:rPr>
          <w:rFonts w:ascii="GHEA Grapalat" w:eastAsia="Sylfaen" w:hAnsi="GHEA Grapalat" w:cs="Sylfaen"/>
          <w:lang w:val="hy-AM"/>
        </w:rPr>
        <w:t>3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11905CC7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0E3934" w:rsidRPr="00C43C01" w14:paraId="52D64800" w14:textId="77777777" w:rsidTr="000E39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98530" w14:textId="121EE08F" w:rsidR="00810D03" w:rsidRDefault="00810D03" w:rsidP="00E24C28">
            <w:pPr>
              <w:ind w:right="-360"/>
              <w:jc w:val="both"/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թեստավորման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փուլը կանցկացվի 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202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>հունվարի 2</w:t>
            </w:r>
            <w:r w:rsidR="00900C62">
              <w:rPr>
                <w:rFonts w:ascii="GHEA Grapalat" w:hAnsi="GHEA Grapalat"/>
                <w:sz w:val="24"/>
                <w:szCs w:val="24"/>
                <w:lang w:val="hy-AM" w:eastAsia="hy-AM"/>
              </w:rPr>
              <w:t>0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՝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</w:p>
          <w:p w14:paraId="5D85D501" w14:textId="77777777" w:rsidR="000E3934" w:rsidRDefault="00810D03" w:rsidP="00E24C28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0E3934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:00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="000E3934"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ք. Երևան, Ռոստոմի փողոց 30, շինություն 243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հասցեում:</w:t>
            </w:r>
          </w:p>
          <w:p w14:paraId="72495D4E" w14:textId="5438AEA0" w:rsidR="008E3F66" w:rsidRDefault="008E3F66" w:rsidP="00E24C28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Մրցույթի հարցազրույցի փուլը կանցկացվի 202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>հունվարի 2</w:t>
            </w:r>
            <w:r w:rsidR="00997B7E">
              <w:rPr>
                <w:rFonts w:ascii="GHEA Grapalat" w:hAnsi="GHEA Grapalat"/>
                <w:sz w:val="24"/>
                <w:szCs w:val="24"/>
                <w:lang w:val="hy-AM" w:eastAsia="hy-AM"/>
              </w:rPr>
              <w:t>2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-ին՝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     </w:t>
            </w:r>
          </w:p>
          <w:p w14:paraId="59BD3AB4" w14:textId="038D604B" w:rsidR="008E3F66" w:rsidRPr="000E3934" w:rsidRDefault="008E3F66" w:rsidP="00E24C28">
            <w:pPr>
              <w:rPr>
                <w:rFonts w:ascii="Arial" w:hAnsi="Arial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11:00-ին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ք. Երևան, Ռոստոմի փողոց 30, շինություն 243 հասցեում:</w:t>
            </w:r>
          </w:p>
        </w:tc>
        <w:tc>
          <w:tcPr>
            <w:tcW w:w="0" w:type="auto"/>
            <w:vAlign w:val="center"/>
            <w:hideMark/>
          </w:tcPr>
          <w:p w14:paraId="4B81EFB8" w14:textId="77777777" w:rsidR="000E3934" w:rsidRPr="000E3934" w:rsidRDefault="000E3934" w:rsidP="00E24C28">
            <w:pPr>
              <w:rPr>
                <w:lang w:val="hy-AM"/>
              </w:rPr>
            </w:pPr>
          </w:p>
        </w:tc>
      </w:tr>
    </w:tbl>
    <w:p w14:paraId="28BFB8AF" w14:textId="64570022" w:rsidR="00CD7410" w:rsidRPr="00866AFF" w:rsidRDefault="00CD7410" w:rsidP="00E24C28">
      <w:pPr>
        <w:shd w:val="clear" w:color="auto" w:fill="FFFFFF"/>
        <w:spacing w:line="276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1318183A" w:rsidR="00341638" w:rsidRPr="00866AFF" w:rsidRDefault="00341638" w:rsidP="00E24C28">
      <w:pPr>
        <w:shd w:val="clear" w:color="auto" w:fill="FFFFFF"/>
        <w:spacing w:line="276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հարյուր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0F18EF21" w:rsidR="00CD7410" w:rsidRDefault="00EA1B64" w:rsidP="00E24C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2994414" w14:textId="77777777" w:rsidR="008E3F66" w:rsidRPr="004E70E7" w:rsidRDefault="008E3F66" w:rsidP="008E3F66">
      <w:pPr>
        <w:shd w:val="clear" w:color="auto" w:fill="FFFFFF"/>
        <w:tabs>
          <w:tab w:val="left" w:pos="360"/>
        </w:tabs>
        <w:spacing w:line="276" w:lineRule="auto"/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63A45C0C" w14:textId="77777777" w:rsidR="008E3F66" w:rsidRDefault="008E3F66" w:rsidP="008E3F6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4A9A7577" w14:textId="336C1C64" w:rsidR="008E3F66" w:rsidRPr="008E3F66" w:rsidRDefault="008E3F66" w:rsidP="008E3F6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մասին» օրենք</w:t>
      </w:r>
    </w:p>
    <w:p w14:paraId="1E74B1CB" w14:textId="77777777" w:rsidR="008E3F66" w:rsidRDefault="008E3F66" w:rsidP="008E3F66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3E16DBC4" w14:textId="302182F2" w:rsidR="008E3F66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>
        <w:rPr>
          <w:rFonts w:ascii="Arial" w:hAnsi="Arial" w:cs="Arial"/>
          <w:lang w:val="hy-AM"/>
        </w:rPr>
        <w:t xml:space="preserve"> </w:t>
      </w:r>
      <w:hyperlink r:id="rId13" w:history="1">
        <w:r w:rsidR="008E3F66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https://www.arlis.am/hy/acts/209903</w:t>
        </w:r>
      </w:hyperlink>
    </w:p>
    <w:p w14:paraId="112A35CA" w14:textId="1B5E42A1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793BF0C" w14:textId="77777777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«Տեխնիկական անվտանգության ապահովման պետական կարգավորման մասին» </w:t>
      </w:r>
    </w:p>
    <w:p w14:paraId="0A2ECF77" w14:textId="44341985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օրենք</w:t>
      </w:r>
    </w:p>
    <w:p w14:paraId="63022E44" w14:textId="74316128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 5, 6, 8, </w:t>
      </w:r>
      <w:r w:rsidR="006F68B6">
        <w:rPr>
          <w:rFonts w:ascii="GHEA Grapalat" w:hAnsi="GHEA Grapalat"/>
          <w:bCs/>
          <w:sz w:val="24"/>
          <w:szCs w:val="24"/>
          <w:lang w:val="hy-AM" w:eastAsia="hy-AM"/>
        </w:rPr>
        <w:t xml:space="preserve">9, 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10,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11, 12, 15, 17, </w:t>
      </w:r>
      <w:r w:rsidR="005703F5">
        <w:rPr>
          <w:rFonts w:ascii="GHEA Grapalat" w:hAnsi="GHEA Grapalat"/>
          <w:bCs/>
          <w:sz w:val="24"/>
          <w:szCs w:val="24"/>
          <w:lang w:val="hy-AM" w:eastAsia="hy-AM"/>
        </w:rPr>
        <w:t xml:space="preserve">19,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21</w:t>
      </w:r>
    </w:p>
    <w:p w14:paraId="0EAF04BA" w14:textId="602CB3F7" w:rsidR="008E3F66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4" w:history="1">
        <w:r w:rsidR="00D054E4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https://www.arlis.am/hy/acts/215607</w:t>
        </w:r>
      </w:hyperlink>
    </w:p>
    <w:p w14:paraId="527BE72C" w14:textId="77777777" w:rsidR="00D054E4" w:rsidRPr="006F68B6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4D2AC7E" w14:textId="608C8118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«Հրդեհային անվտանգության մասին» օրենք</w:t>
      </w:r>
    </w:p>
    <w:p w14:paraId="0941654A" w14:textId="6D299606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</w:t>
      </w:r>
      <w:r w:rsidR="00190C57">
        <w:rPr>
          <w:rFonts w:ascii="GHEA Grapalat" w:hAnsi="GHEA Grapalat"/>
          <w:bCs/>
          <w:sz w:val="24"/>
          <w:szCs w:val="24"/>
          <w:lang w:val="hy-AM" w:eastAsia="hy-AM"/>
        </w:rPr>
        <w:t xml:space="preserve">3, </w:t>
      </w:r>
      <w:r w:rsidR="002465C5">
        <w:rPr>
          <w:rFonts w:ascii="GHEA Grapalat" w:hAnsi="GHEA Grapalat"/>
          <w:bCs/>
          <w:sz w:val="24"/>
          <w:szCs w:val="24"/>
          <w:lang w:val="hy-AM" w:eastAsia="hy-AM"/>
        </w:rPr>
        <w:t xml:space="preserve">7,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8, </w:t>
      </w:r>
      <w:r w:rsidR="00555F40">
        <w:rPr>
          <w:rFonts w:ascii="GHEA Grapalat" w:hAnsi="GHEA Grapalat"/>
          <w:bCs/>
          <w:sz w:val="24"/>
          <w:szCs w:val="24"/>
          <w:lang w:val="hy-AM" w:eastAsia="hy-AM"/>
        </w:rPr>
        <w:t xml:space="preserve">10, </w:t>
      </w:r>
      <w:r w:rsidR="00207348">
        <w:rPr>
          <w:rFonts w:ascii="GHEA Grapalat" w:hAnsi="GHEA Grapalat"/>
          <w:bCs/>
          <w:sz w:val="24"/>
          <w:szCs w:val="24"/>
          <w:lang w:val="hy-AM" w:eastAsia="hy-AM"/>
        </w:rPr>
        <w:t xml:space="preserve">11,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12, 17, 20, 24, 25, 26, 27, 28, 30, 31</w:t>
      </w:r>
      <w:r w:rsidR="00CE3E63">
        <w:rPr>
          <w:rFonts w:ascii="GHEA Grapalat" w:hAnsi="GHEA Grapalat"/>
          <w:bCs/>
          <w:sz w:val="24"/>
          <w:szCs w:val="24"/>
          <w:lang w:val="hy-AM" w:eastAsia="hy-AM"/>
        </w:rPr>
        <w:t>, 32</w:t>
      </w:r>
    </w:p>
    <w:p w14:paraId="1C099397" w14:textId="2E00FD26" w:rsidR="008E3F66" w:rsidRPr="00316F30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5" w:history="1">
        <w:r w:rsidR="00316F30" w:rsidRPr="00316F30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https://www.arlis.am/hy/acts/201274</w:t>
        </w:r>
      </w:hyperlink>
    </w:p>
    <w:p w14:paraId="7533280C" w14:textId="77777777" w:rsidR="00316F30" w:rsidRPr="00316F30" w:rsidRDefault="00316F30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Arial" w:hAnsi="Arial"/>
          <w:bCs/>
          <w:sz w:val="24"/>
          <w:szCs w:val="24"/>
          <w:lang w:val="hy-AM" w:eastAsia="hy-AM"/>
        </w:rPr>
      </w:pPr>
    </w:p>
    <w:p w14:paraId="2936C373" w14:textId="77777777" w:rsid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098CE88D" w14:textId="34F4D457" w:rsidR="008E3F66" w:rsidRP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>օրենսգիրք</w:t>
      </w:r>
    </w:p>
    <w:p w14:paraId="08203B3E" w14:textId="4D63B289" w:rsid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>Հոդվածներ՝ 12, 21, 23, 33, 37, 38, 225, 254, 277, 282, 283</w:t>
      </w:r>
    </w:p>
    <w:p w14:paraId="04C513DB" w14:textId="76FC5C4A" w:rsidR="00D054E4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6" w:history="1">
        <w:r w:rsidR="00D054E4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https://www.arlis.am/hy/acts/215690</w:t>
        </w:r>
      </w:hyperlink>
    </w:p>
    <w:p w14:paraId="7F0FE177" w14:textId="1F499CC6" w:rsidR="00512596" w:rsidRDefault="00512596" w:rsidP="00D705C8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</w:p>
    <w:p w14:paraId="5B084E7A" w14:textId="59EE6A15" w:rsidR="00D3185A" w:rsidRDefault="00D3185A" w:rsidP="00530C40">
      <w:pPr>
        <w:ind w:left="54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3185A">
        <w:rPr>
          <w:rFonts w:ascii="GHEA Grapalat" w:hAnsi="GHEA Grapalat"/>
          <w:bCs/>
          <w:sz w:val="24"/>
          <w:szCs w:val="24"/>
          <w:lang w:val="hy-AM" w:eastAsia="hy-AM"/>
        </w:rPr>
        <w:t xml:space="preserve"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  </w:t>
      </w:r>
    </w:p>
    <w:p w14:paraId="2A6896C0" w14:textId="4A6D79A5" w:rsidR="00512596" w:rsidRDefault="00DD18E5" w:rsidP="00D3185A">
      <w:pPr>
        <w:ind w:left="540"/>
        <w:rPr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7" w:history="1">
        <w:r w:rsidR="00512596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https://www.arlis.am/hy/acts/158491</w:t>
        </w:r>
      </w:hyperlink>
    </w:p>
    <w:p w14:paraId="512C3676" w14:textId="77777777" w:rsidR="00512596" w:rsidRPr="00D3185A" w:rsidRDefault="00512596" w:rsidP="00D3185A">
      <w:pPr>
        <w:ind w:left="540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1B42574" w14:textId="77777777" w:rsidR="00D3185A" w:rsidRPr="00D054E4" w:rsidRDefault="00D3185A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7225B03B" w14:textId="77777777" w:rsidR="00103DA5" w:rsidRDefault="00103DA5" w:rsidP="009467AE">
      <w:pPr>
        <w:shd w:val="clear" w:color="auto" w:fill="FFFFFF"/>
        <w:spacing w:line="276" w:lineRule="auto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2AE6C205" w14:textId="77777777" w:rsidR="00103DA5" w:rsidRPr="008E3F66" w:rsidRDefault="00103DA5" w:rsidP="009467AE">
      <w:pPr>
        <w:shd w:val="clear" w:color="auto" w:fill="FFFFFF"/>
        <w:spacing w:line="276" w:lineRule="auto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մասին» օրենք</w:t>
      </w:r>
    </w:p>
    <w:p w14:paraId="39669D0E" w14:textId="149FC252" w:rsidR="00103DA5" w:rsidRDefault="00DD18E5" w:rsidP="009467AE">
      <w:pPr>
        <w:shd w:val="clear" w:color="auto" w:fill="FFFFFF"/>
        <w:spacing w:line="276" w:lineRule="auto"/>
        <w:ind w:left="720" w:right="299" w:hanging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8" w:history="1">
        <w:r w:rsidR="00103DA5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https://www.arlis.am/hy/acts/209903</w:t>
        </w:r>
      </w:hyperlink>
    </w:p>
    <w:p w14:paraId="227B78DD" w14:textId="75D872AD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</w:p>
    <w:p w14:paraId="0BB44020" w14:textId="1D0CC70C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</w:p>
    <w:p w14:paraId="0E3CCC69" w14:textId="77777777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1DD686D7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«Տեխնիկական անվտանգության ապահովման պետական կարգավորման մասին» </w:t>
      </w:r>
    </w:p>
    <w:p w14:paraId="49FFB4B4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օրենք</w:t>
      </w:r>
    </w:p>
    <w:p w14:paraId="12A3E049" w14:textId="4D7AA2B3" w:rsidR="00103DA5" w:rsidRDefault="00DD18E5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hyperlink r:id="rId19" w:history="1">
        <w:r w:rsidR="00103DA5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https://www.arlis.am/hy/acts/215607</w:t>
        </w:r>
      </w:hyperlink>
    </w:p>
    <w:p w14:paraId="74C07C99" w14:textId="77777777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355F0FCA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«Հրդեհային անվտանգության մասին» օրենք</w:t>
      </w:r>
    </w:p>
    <w:p w14:paraId="279F1FEA" w14:textId="34A76378" w:rsidR="00103DA5" w:rsidRPr="00316F30" w:rsidRDefault="00DD18E5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20" w:history="1">
        <w:r w:rsidR="00103DA5" w:rsidRPr="00316F30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https://www.arlis.am/hy/acts/201274</w:t>
        </w:r>
      </w:hyperlink>
    </w:p>
    <w:p w14:paraId="22BFC186" w14:textId="77777777" w:rsidR="00103DA5" w:rsidRDefault="00103DA5" w:rsidP="00103DA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08118248" w:rsidR="00791874" w:rsidRDefault="00791874" w:rsidP="00103DA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1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2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89414" w14:textId="77777777" w:rsidR="001F3DF3" w:rsidRDefault="001F3DF3" w:rsidP="00C47A7F">
      <w:r>
        <w:separator/>
      </w:r>
    </w:p>
  </w:endnote>
  <w:endnote w:type="continuationSeparator" w:id="0">
    <w:p w14:paraId="748C7290" w14:textId="77777777" w:rsidR="001F3DF3" w:rsidRDefault="001F3DF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14626" w14:textId="77777777" w:rsidR="001F3DF3" w:rsidRDefault="001F3DF3" w:rsidP="00C47A7F">
      <w:r>
        <w:separator/>
      </w:r>
    </w:p>
  </w:footnote>
  <w:footnote w:type="continuationSeparator" w:id="0">
    <w:p w14:paraId="1F1E21D6" w14:textId="77777777" w:rsidR="001F3DF3" w:rsidRDefault="001F3DF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0E3934"/>
    <w:rsid w:val="001033CF"/>
    <w:rsid w:val="00103DA5"/>
    <w:rsid w:val="00117A2D"/>
    <w:rsid w:val="001236F2"/>
    <w:rsid w:val="00124176"/>
    <w:rsid w:val="00132E2B"/>
    <w:rsid w:val="00143745"/>
    <w:rsid w:val="001455E2"/>
    <w:rsid w:val="001619D9"/>
    <w:rsid w:val="00190C57"/>
    <w:rsid w:val="001A0D51"/>
    <w:rsid w:val="001A17C0"/>
    <w:rsid w:val="001A4EA3"/>
    <w:rsid w:val="001B69C1"/>
    <w:rsid w:val="001C3403"/>
    <w:rsid w:val="001E712E"/>
    <w:rsid w:val="001F3DF3"/>
    <w:rsid w:val="00204D88"/>
    <w:rsid w:val="00207348"/>
    <w:rsid w:val="00211E6F"/>
    <w:rsid w:val="0021283C"/>
    <w:rsid w:val="00214B21"/>
    <w:rsid w:val="002465C5"/>
    <w:rsid w:val="00255C4C"/>
    <w:rsid w:val="00270ECD"/>
    <w:rsid w:val="002740A7"/>
    <w:rsid w:val="00280EAF"/>
    <w:rsid w:val="002A3ADF"/>
    <w:rsid w:val="002C11AC"/>
    <w:rsid w:val="002D2AA2"/>
    <w:rsid w:val="00314C2E"/>
    <w:rsid w:val="00316F30"/>
    <w:rsid w:val="00341638"/>
    <w:rsid w:val="00344197"/>
    <w:rsid w:val="00366E73"/>
    <w:rsid w:val="0037392B"/>
    <w:rsid w:val="0038010C"/>
    <w:rsid w:val="0038367D"/>
    <w:rsid w:val="003936ED"/>
    <w:rsid w:val="003A1D88"/>
    <w:rsid w:val="003A5837"/>
    <w:rsid w:val="003B0918"/>
    <w:rsid w:val="003B5F9A"/>
    <w:rsid w:val="003D0647"/>
    <w:rsid w:val="003D4E63"/>
    <w:rsid w:val="003F1071"/>
    <w:rsid w:val="003F205C"/>
    <w:rsid w:val="00403623"/>
    <w:rsid w:val="00406EEB"/>
    <w:rsid w:val="00407C85"/>
    <w:rsid w:val="00411180"/>
    <w:rsid w:val="00411C45"/>
    <w:rsid w:val="00462364"/>
    <w:rsid w:val="0046629E"/>
    <w:rsid w:val="0047454D"/>
    <w:rsid w:val="004B1006"/>
    <w:rsid w:val="004C1F3A"/>
    <w:rsid w:val="004C5DE3"/>
    <w:rsid w:val="004C71F2"/>
    <w:rsid w:val="004D3F99"/>
    <w:rsid w:val="004F3B92"/>
    <w:rsid w:val="00511D71"/>
    <w:rsid w:val="00512596"/>
    <w:rsid w:val="00530C40"/>
    <w:rsid w:val="00555F40"/>
    <w:rsid w:val="005571D4"/>
    <w:rsid w:val="005603BD"/>
    <w:rsid w:val="005703F5"/>
    <w:rsid w:val="00571E51"/>
    <w:rsid w:val="00581600"/>
    <w:rsid w:val="00581AF2"/>
    <w:rsid w:val="005915A1"/>
    <w:rsid w:val="005A0A5F"/>
    <w:rsid w:val="005C1130"/>
    <w:rsid w:val="005D000D"/>
    <w:rsid w:val="005D758C"/>
    <w:rsid w:val="005F1F6C"/>
    <w:rsid w:val="005F4AFD"/>
    <w:rsid w:val="005F750F"/>
    <w:rsid w:val="00603C2E"/>
    <w:rsid w:val="00607758"/>
    <w:rsid w:val="00617017"/>
    <w:rsid w:val="0064146F"/>
    <w:rsid w:val="0065320C"/>
    <w:rsid w:val="00691CAB"/>
    <w:rsid w:val="006971B2"/>
    <w:rsid w:val="006B1917"/>
    <w:rsid w:val="006C459B"/>
    <w:rsid w:val="006D22E8"/>
    <w:rsid w:val="006D3E7F"/>
    <w:rsid w:val="006D692B"/>
    <w:rsid w:val="006F68B6"/>
    <w:rsid w:val="00710704"/>
    <w:rsid w:val="007136CD"/>
    <w:rsid w:val="007215CC"/>
    <w:rsid w:val="0072411F"/>
    <w:rsid w:val="00731665"/>
    <w:rsid w:val="00731EEE"/>
    <w:rsid w:val="00732417"/>
    <w:rsid w:val="00734A7D"/>
    <w:rsid w:val="00757A6F"/>
    <w:rsid w:val="00786AF7"/>
    <w:rsid w:val="0079177F"/>
    <w:rsid w:val="00791874"/>
    <w:rsid w:val="00795DBA"/>
    <w:rsid w:val="007A7E59"/>
    <w:rsid w:val="007E21C0"/>
    <w:rsid w:val="00805F6C"/>
    <w:rsid w:val="00810D03"/>
    <w:rsid w:val="0082263A"/>
    <w:rsid w:val="00833B73"/>
    <w:rsid w:val="0084516D"/>
    <w:rsid w:val="00850318"/>
    <w:rsid w:val="008646A2"/>
    <w:rsid w:val="00866AFF"/>
    <w:rsid w:val="00892304"/>
    <w:rsid w:val="00895CBE"/>
    <w:rsid w:val="008A4963"/>
    <w:rsid w:val="008A5CAA"/>
    <w:rsid w:val="008C0EE7"/>
    <w:rsid w:val="008C211F"/>
    <w:rsid w:val="008C40EE"/>
    <w:rsid w:val="008D0138"/>
    <w:rsid w:val="008E3F66"/>
    <w:rsid w:val="008F718E"/>
    <w:rsid w:val="00900C62"/>
    <w:rsid w:val="00907736"/>
    <w:rsid w:val="00911A44"/>
    <w:rsid w:val="0092180A"/>
    <w:rsid w:val="00930944"/>
    <w:rsid w:val="00933F04"/>
    <w:rsid w:val="009467AE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97B7E"/>
    <w:rsid w:val="009A2700"/>
    <w:rsid w:val="009D2BAB"/>
    <w:rsid w:val="009E51AE"/>
    <w:rsid w:val="009E6083"/>
    <w:rsid w:val="00A05310"/>
    <w:rsid w:val="00A15197"/>
    <w:rsid w:val="00A30633"/>
    <w:rsid w:val="00A55867"/>
    <w:rsid w:val="00A65798"/>
    <w:rsid w:val="00A77309"/>
    <w:rsid w:val="00A9616A"/>
    <w:rsid w:val="00AD6446"/>
    <w:rsid w:val="00B02891"/>
    <w:rsid w:val="00B200F4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287"/>
    <w:rsid w:val="00BD0405"/>
    <w:rsid w:val="00BD3A85"/>
    <w:rsid w:val="00BD5096"/>
    <w:rsid w:val="00C2591E"/>
    <w:rsid w:val="00C36600"/>
    <w:rsid w:val="00C43C01"/>
    <w:rsid w:val="00C47A7F"/>
    <w:rsid w:val="00C56F25"/>
    <w:rsid w:val="00C56F35"/>
    <w:rsid w:val="00C671BC"/>
    <w:rsid w:val="00C75976"/>
    <w:rsid w:val="00C8404C"/>
    <w:rsid w:val="00C933B9"/>
    <w:rsid w:val="00CA2DD1"/>
    <w:rsid w:val="00CB5C61"/>
    <w:rsid w:val="00CC0BF4"/>
    <w:rsid w:val="00CD50EE"/>
    <w:rsid w:val="00CD7410"/>
    <w:rsid w:val="00CD74F9"/>
    <w:rsid w:val="00CE3E63"/>
    <w:rsid w:val="00D04CCE"/>
    <w:rsid w:val="00D054E4"/>
    <w:rsid w:val="00D129ED"/>
    <w:rsid w:val="00D25704"/>
    <w:rsid w:val="00D27F31"/>
    <w:rsid w:val="00D3185A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18E5"/>
    <w:rsid w:val="00DD1B05"/>
    <w:rsid w:val="00DD2CCE"/>
    <w:rsid w:val="00DE76E7"/>
    <w:rsid w:val="00DF5030"/>
    <w:rsid w:val="00E00A3B"/>
    <w:rsid w:val="00E12BFB"/>
    <w:rsid w:val="00E13CFF"/>
    <w:rsid w:val="00E24C28"/>
    <w:rsid w:val="00E27811"/>
    <w:rsid w:val="00E34CCD"/>
    <w:rsid w:val="00E35E3B"/>
    <w:rsid w:val="00E67468"/>
    <w:rsid w:val="00E71E17"/>
    <w:rsid w:val="00E934BE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1E79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A5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https://www.arlis.am/hy/acts/2099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://utfsib.am/site/uploads/files/HAYTARARUTYUN%202025/PA_EREVAN_A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58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5690" TargetMode="External"/><Relationship Id="rId20" Type="http://schemas.openxmlformats.org/officeDocument/2006/relationships/hyperlink" Target="https://www.arlis.am/hy/acts/2012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12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15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5607" TargetMode="External"/><Relationship Id="rId22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43</cp:revision>
  <cp:lastPrinted>2021-03-16T05:33:00Z</cp:lastPrinted>
  <dcterms:created xsi:type="dcterms:W3CDTF">2025-03-24T05:44:00Z</dcterms:created>
  <dcterms:modified xsi:type="dcterms:W3CDTF">2025-12-16T08:05:00Z</dcterms:modified>
</cp:coreProperties>
</file>